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CE9F" w14:textId="77777777" w:rsidR="0095520D" w:rsidRDefault="0095520D" w:rsidP="00E15A5E">
      <w:pPr>
        <w:shd w:val="clear" w:color="auto" w:fill="FFFFFF"/>
        <w:spacing w:after="75"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</w:p>
    <w:p w14:paraId="3FB55E83" w14:textId="42255C5C" w:rsidR="0033560A" w:rsidRDefault="0033560A" w:rsidP="00E15A5E">
      <w:pPr>
        <w:shd w:val="clear" w:color="auto" w:fill="FFFFFF"/>
        <w:spacing w:after="75"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UCHWAŁA N</w:t>
      </w:r>
      <w:r w:rsidR="00E15A5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r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</w:t>
      </w:r>
      <w:r w:rsidR="00911AF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XX</w:t>
      </w:r>
      <w:r w:rsidR="0095520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/</w:t>
      </w:r>
      <w:r w:rsidR="00BE231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137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/202</w:t>
      </w:r>
      <w:r w:rsidR="007A21F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5</w:t>
      </w:r>
    </w:p>
    <w:p w14:paraId="2BF7B104" w14:textId="51515B7B" w:rsidR="0033560A" w:rsidRDefault="0033560A" w:rsidP="00E15A5E">
      <w:pPr>
        <w:shd w:val="clear" w:color="auto" w:fill="FFFFFF"/>
        <w:spacing w:after="75"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RAD</w:t>
      </w:r>
      <w:r w:rsidR="00402B2C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Y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POWIATU GRÓJECKIEGO</w:t>
      </w:r>
    </w:p>
    <w:p w14:paraId="584EAFBB" w14:textId="417DA30C" w:rsidR="0033560A" w:rsidRDefault="0033560A" w:rsidP="00E15A5E">
      <w:pPr>
        <w:shd w:val="clear" w:color="auto" w:fill="FFFFFF"/>
        <w:spacing w:after="75"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z dnia </w:t>
      </w:r>
      <w:r w:rsidR="0013611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</w:t>
      </w:r>
      <w:r w:rsidR="008E123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24</w:t>
      </w:r>
      <w:r w:rsidR="007A21F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września 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202</w:t>
      </w:r>
      <w:r w:rsidR="00ED7949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5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r. </w:t>
      </w:r>
    </w:p>
    <w:p w14:paraId="5DB88B7F" w14:textId="77777777" w:rsidR="0033560A" w:rsidRDefault="0033560A" w:rsidP="00E15A5E">
      <w:pPr>
        <w:shd w:val="clear" w:color="auto" w:fill="FFFFFF"/>
        <w:spacing w:after="75"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3EE15841" w14:textId="5D21896E" w:rsidR="0033560A" w:rsidRPr="008342D8" w:rsidRDefault="0033560A" w:rsidP="0033560A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shd w:val="clear" w:color="auto" w:fill="FFFFFF"/>
          <w:lang w:eastAsia="pl-PL"/>
        </w:rPr>
      </w:pPr>
      <w:r w:rsidRPr="008342D8">
        <w:rPr>
          <w:rFonts w:ascii="Arial" w:eastAsia="Times New Roman" w:hAnsi="Arial" w:cs="Arial"/>
          <w:b/>
          <w:bCs/>
          <w:iCs/>
          <w:color w:val="000000"/>
          <w:sz w:val="24"/>
          <w:szCs w:val="24"/>
          <w:shd w:val="clear" w:color="auto" w:fill="FFFFFF"/>
          <w:lang w:eastAsia="pl-PL"/>
        </w:rPr>
        <w:t xml:space="preserve">w sprawie rozpatrzenia skargi na </w:t>
      </w:r>
      <w:r w:rsidR="00C5656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shd w:val="clear" w:color="auto" w:fill="FFFFFF"/>
          <w:lang w:eastAsia="pl-PL"/>
        </w:rPr>
        <w:t xml:space="preserve">Dyrektora </w:t>
      </w:r>
      <w:r w:rsidR="00C65754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Specjalnego Ośrodka Szkolno-Wychowawczego im.  Świętego Franciszka z Asyżu w Nowym Mieście nad Pilicą </w:t>
      </w:r>
    </w:p>
    <w:p w14:paraId="66038C61" w14:textId="77777777" w:rsidR="0033560A" w:rsidRPr="00A43EC4" w:rsidRDefault="0033560A" w:rsidP="0033560A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0C6BF4" w14:textId="07454AAF" w:rsidR="00C5656B" w:rsidRDefault="00C5656B" w:rsidP="0067156F">
      <w:pPr>
        <w:shd w:val="clear" w:color="auto" w:fill="FFFFFF"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art. 16a  ustawy z dnia 5 czerwca 1998 r. o samorządzie powiatowym (Dz. U. z 202</w:t>
      </w:r>
      <w:r w:rsidR="007F08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poz. 1</w:t>
      </w:r>
      <w:r w:rsidR="007F08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07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w zw. z art. 229 pkt 4 kodeksu postępowania administracyjnego (Dz. U. z 202</w:t>
      </w:r>
      <w:r w:rsidR="00820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poz. </w:t>
      </w:r>
      <w:r w:rsidR="00820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572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uchwala się, co następuje:</w:t>
      </w:r>
    </w:p>
    <w:p w14:paraId="7B7104BA" w14:textId="77777777" w:rsidR="00A847CB" w:rsidRPr="00A43EC4" w:rsidRDefault="00A847CB" w:rsidP="0033560A">
      <w:pPr>
        <w:shd w:val="clear" w:color="auto" w:fill="FFFFFF"/>
        <w:spacing w:after="24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1B4D08D" w14:textId="5FBB3FD6" w:rsidR="0033560A" w:rsidRDefault="0033560A" w:rsidP="00A847C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847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</w:t>
      </w:r>
      <w:r w:rsidR="00A847CB" w:rsidRPr="00A847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A847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43EC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Uznaj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się skargę </w:t>
      </w:r>
      <w:r w:rsidR="00C5656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działania</w:t>
      </w:r>
      <w:r w:rsidR="00C65754" w:rsidRPr="00C6575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C65754" w:rsidRPr="00C65754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eastAsia="pl-PL"/>
        </w:rPr>
        <w:t xml:space="preserve">Dyrektora </w:t>
      </w:r>
      <w:r w:rsidR="00C65754" w:rsidRPr="00C65754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Specjalnego Ośrodka </w:t>
      </w:r>
      <w:r w:rsidR="00C65754">
        <w:rPr>
          <w:rFonts w:ascii="Arial" w:hAnsi="Arial" w:cs="Arial"/>
          <w:kern w:val="2"/>
          <w:sz w:val="24"/>
          <w:szCs w:val="24"/>
          <w14:ligatures w14:val="standardContextual"/>
        </w:rPr>
        <w:br/>
      </w:r>
      <w:r w:rsidR="00C65754" w:rsidRPr="00C65754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Szkolno-Wychowawczego im.  Świętego Franciszka z Asyżu w Nowym Mieście </w:t>
      </w:r>
      <w:r w:rsidR="00BE2313">
        <w:rPr>
          <w:rFonts w:ascii="Arial" w:hAnsi="Arial" w:cs="Arial"/>
          <w:kern w:val="2"/>
          <w:sz w:val="24"/>
          <w:szCs w:val="24"/>
          <w14:ligatures w14:val="standardContextual"/>
        </w:rPr>
        <w:br/>
      </w:r>
      <w:r w:rsidR="00C65754" w:rsidRPr="00C65754">
        <w:rPr>
          <w:rFonts w:ascii="Arial" w:hAnsi="Arial" w:cs="Arial"/>
          <w:kern w:val="2"/>
          <w:sz w:val="24"/>
          <w:szCs w:val="24"/>
          <w14:ligatures w14:val="standardContextual"/>
        </w:rPr>
        <w:t>nad Pilicą</w:t>
      </w:r>
      <w:r w:rsidR="00C65754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BE2313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za </w:t>
      </w:r>
      <w:r w:rsidRPr="00A43EC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niezasadną. </w:t>
      </w:r>
    </w:p>
    <w:p w14:paraId="7013576D" w14:textId="77777777" w:rsidR="00A847CB" w:rsidRPr="00A847CB" w:rsidRDefault="00A847CB" w:rsidP="00A847CB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8783C3B" w14:textId="0B8D435F" w:rsidR="0033560A" w:rsidRDefault="0033560A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A847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2</w:t>
      </w:r>
      <w:r w:rsidR="00A847CB" w:rsidRPr="00A847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A847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BC29D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Uzasadnienie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dla sposobu rozpatrzenia skargi stanowi załącznik do uchwały. </w:t>
      </w:r>
    </w:p>
    <w:p w14:paraId="42A3D148" w14:textId="77777777" w:rsidR="00A847CB" w:rsidRPr="00A847CB" w:rsidRDefault="00A847CB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19FD0C14" w14:textId="482AECC9" w:rsidR="0033560A" w:rsidRPr="00A847CB" w:rsidRDefault="0033560A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A847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3</w:t>
      </w:r>
      <w:r w:rsidR="00A847CB" w:rsidRPr="00A847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A847C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BC29D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O sposobie rozpatrzenia skargi Przewodniczący Rady zawiadomi skarżącego. </w:t>
      </w:r>
    </w:p>
    <w:p w14:paraId="1BC50EAB" w14:textId="77777777" w:rsidR="0033560A" w:rsidRDefault="0033560A" w:rsidP="0033560A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66EAFC29" w14:textId="5BE24179" w:rsidR="0033560A" w:rsidRDefault="0033560A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847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4</w:t>
      </w:r>
      <w:r w:rsidR="00A847CB" w:rsidRPr="00A847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43EC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Uchwała wchodzi w życie z dniem podjęcia.</w:t>
      </w:r>
    </w:p>
    <w:p w14:paraId="11E41B2B" w14:textId="77777777" w:rsidR="007D01C8" w:rsidRDefault="007D01C8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13D983E" w14:textId="77777777" w:rsidR="007D01C8" w:rsidRDefault="007D01C8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B30F27B" w14:textId="77777777" w:rsidR="007D01C8" w:rsidRDefault="007D01C8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F760E59" w14:textId="77777777" w:rsidR="005F34D0" w:rsidRDefault="005F34D0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6E89EB2" w14:textId="77777777" w:rsidR="005F34D0" w:rsidRDefault="005F34D0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3227198" w14:textId="77777777" w:rsidR="005F34D0" w:rsidRDefault="005F34D0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2E2ACAF" w14:textId="77777777" w:rsidR="005F34D0" w:rsidRDefault="005F34D0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081E18E" w14:textId="77777777" w:rsidR="005F34D0" w:rsidRDefault="005F34D0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370C007" w14:textId="77777777" w:rsidR="005F34D0" w:rsidRDefault="005F34D0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28226CE" w14:textId="77777777" w:rsidR="007D01C8" w:rsidRDefault="007D01C8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E8A86AE" w14:textId="77777777" w:rsidR="005F34D0" w:rsidRDefault="005F34D0" w:rsidP="00A847CB">
      <w:pPr>
        <w:shd w:val="clear" w:color="auto" w:fill="FFFFFF"/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F36A1AC" w14:textId="77777777" w:rsidR="00BE2313" w:rsidRDefault="00BE2313" w:rsidP="0070535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ACC99C" w14:textId="100F1F76" w:rsidR="0070535B" w:rsidRDefault="0070535B" w:rsidP="0070535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62BF48E0" w14:textId="77777777" w:rsidR="0070535B" w:rsidRDefault="0070535B" w:rsidP="0070535B">
      <w:pPr>
        <w:rPr>
          <w:rFonts w:ascii="Arial" w:hAnsi="Arial" w:cs="Arial"/>
          <w:b/>
          <w:bCs/>
          <w:sz w:val="24"/>
          <w:szCs w:val="24"/>
        </w:rPr>
      </w:pPr>
    </w:p>
    <w:p w14:paraId="5F5BA618" w14:textId="1546CD13" w:rsidR="0070535B" w:rsidRDefault="0070535B" w:rsidP="0070535B">
      <w:pPr>
        <w:shd w:val="clear" w:color="auto" w:fill="FFFFFF"/>
        <w:spacing w:line="360" w:lineRule="auto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Do Starostwa Powiatowego w Grójcu dnia 18 lipca 2025 r. wpłynęła skarga rodzica na działania Ośrodka Szkolno-Wychowawczego w Nowym Miecie nad Pilicą. </w:t>
      </w:r>
    </w:p>
    <w:p w14:paraId="59FFD610" w14:textId="2B412679" w:rsidR="0070535B" w:rsidRDefault="0070535B" w:rsidP="007053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powyższym skarga była tematem obrad Komisji Skarg, Wniosków i Petycji, które odbyło się 26 sierpnia 2025 r. oraz 22 września 2025 r. </w:t>
      </w:r>
      <w:r w:rsidR="004C424E">
        <w:rPr>
          <w:rFonts w:ascii="Arial" w:hAnsi="Arial" w:cs="Arial"/>
          <w:sz w:val="24"/>
          <w:szCs w:val="24"/>
        </w:rPr>
        <w:t xml:space="preserve">Skarga dotyczy niewłaściwego podejścia personelu do ucznia i rodzica.  </w:t>
      </w:r>
    </w:p>
    <w:p w14:paraId="69668F8F" w14:textId="01E432CF" w:rsidR="00122FD5" w:rsidRPr="00122FD5" w:rsidRDefault="00122FD5" w:rsidP="00122FD5">
      <w:pPr>
        <w:spacing w:after="0" w:line="360" w:lineRule="auto"/>
        <w:ind w:firstLine="708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Obecna na posiedzeniu w dniu 22 września br. skarżąca poinformowała, że po złożeniu skargi spotkała się z nieprofesjonalnym, wręcz lekceważącym traktowaniem ze strony p. psycholog, która potraktowała jej osobę ironicznym uśmiechem co było bardzo upokarzające. Jako rodzic dziecka o specjalnych potrzebach edukacyjnych, oczekuje wsparcia i poszanowania. W placówce takie standardy nie zostały zachowane. Zdaniem skarżącej p. psycholog powinna otrzymać za swoje zachowanie  </w:t>
      </w:r>
      <w:r w:rsidR="002B4F4C">
        <w:rPr>
          <w:rFonts w:ascii="Arial" w:eastAsia="Calibri" w:hAnsi="Arial" w:cs="Arial"/>
          <w:kern w:val="2"/>
          <w:sz w:val="24"/>
          <w:szCs w:val="24"/>
          <w:lang w:eastAsia="ar-SA"/>
        </w:rPr>
        <w:t>pisemną naganę</w:t>
      </w:r>
      <w:r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aby taka sytuacja więcej się nie powtórzyła.      </w:t>
      </w:r>
    </w:p>
    <w:p w14:paraId="27C8B36D" w14:textId="006FF954" w:rsidR="00785645" w:rsidRDefault="003F368C" w:rsidP="002E478B">
      <w:pPr>
        <w:spacing w:after="0" w:line="360" w:lineRule="auto"/>
        <w:ind w:firstLine="708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D</w:t>
      </w:r>
      <w:r w:rsidR="0070535B">
        <w:rPr>
          <w:rFonts w:ascii="Arial" w:hAnsi="Arial" w:cs="Arial"/>
          <w:sz w:val="24"/>
          <w:szCs w:val="24"/>
        </w:rPr>
        <w:t xml:space="preserve">yrektor placówki poinformowała, że </w:t>
      </w:r>
      <w:r w:rsidR="002B4F4C">
        <w:rPr>
          <w:rFonts w:ascii="Arial" w:hAnsi="Arial" w:cs="Arial"/>
          <w:sz w:val="24"/>
          <w:szCs w:val="24"/>
        </w:rPr>
        <w:t xml:space="preserve">w </w:t>
      </w:r>
      <w:r w:rsidR="002E478B">
        <w:rPr>
          <w:rFonts w:ascii="Arial" w:hAnsi="Arial" w:cs="Arial"/>
          <w:sz w:val="24"/>
          <w:szCs w:val="24"/>
        </w:rPr>
        <w:t>związku z zaistniałą sytuacją</w:t>
      </w:r>
      <w:r w:rsidR="00042E8B">
        <w:rPr>
          <w:rFonts w:ascii="Arial" w:hAnsi="Arial" w:cs="Arial"/>
          <w:sz w:val="24"/>
          <w:szCs w:val="24"/>
        </w:rPr>
        <w:t xml:space="preserve"> </w:t>
      </w:r>
      <w:r w:rsidR="002E478B">
        <w:rPr>
          <w:rFonts w:ascii="Arial" w:hAnsi="Arial" w:cs="Arial"/>
          <w:sz w:val="24"/>
          <w:szCs w:val="24"/>
        </w:rPr>
        <w:t>z</w:t>
      </w:r>
      <w:r w:rsidR="004C424E">
        <w:rPr>
          <w:rFonts w:ascii="Arial" w:hAnsi="Arial" w:cs="Arial"/>
          <w:sz w:val="24"/>
          <w:szCs w:val="24"/>
        </w:rPr>
        <w:t>ostały podjęte natychmiastowe działania</w:t>
      </w:r>
      <w:r w:rsidR="002E478B">
        <w:rPr>
          <w:rFonts w:ascii="Arial" w:hAnsi="Arial" w:cs="Arial"/>
          <w:sz w:val="24"/>
          <w:szCs w:val="24"/>
        </w:rPr>
        <w:t xml:space="preserve"> między innymi </w:t>
      </w:r>
      <w:r w:rsidR="004C424E">
        <w:rPr>
          <w:rFonts w:ascii="Arial" w:hAnsi="Arial" w:cs="Arial"/>
          <w:sz w:val="24"/>
          <w:szCs w:val="24"/>
        </w:rPr>
        <w:t xml:space="preserve"> odbyło się spotkanie w tej sprawie. </w:t>
      </w:r>
      <w:r w:rsidR="00785645" w:rsidRPr="00785645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Ze spotkania </w:t>
      </w:r>
      <w:r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został </w:t>
      </w:r>
      <w:r w:rsidR="00785645" w:rsidRPr="00785645">
        <w:rPr>
          <w:rFonts w:ascii="Arial" w:eastAsia="Calibri" w:hAnsi="Arial" w:cs="Arial"/>
          <w:kern w:val="2"/>
          <w:sz w:val="24"/>
          <w:szCs w:val="24"/>
          <w:lang w:eastAsia="ar-SA"/>
        </w:rPr>
        <w:t>przygotowany protokół i skarżąca go podpisała nie wnosząc żadnych uwag.</w:t>
      </w:r>
      <w:r w:rsidR="003F2BBA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Pani psycholog przeprosiła skarżąc</w:t>
      </w:r>
      <w:r w:rsidR="009074E8">
        <w:rPr>
          <w:rFonts w:ascii="Arial" w:eastAsia="Calibri" w:hAnsi="Arial" w:cs="Arial"/>
          <w:kern w:val="2"/>
          <w:sz w:val="24"/>
          <w:szCs w:val="24"/>
          <w:lang w:eastAsia="ar-SA"/>
        </w:rPr>
        <w:t>ą</w:t>
      </w:r>
      <w:r w:rsidR="003F2BBA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za gest, który był dla niej upokarzający. </w:t>
      </w:r>
      <w:r w:rsidR="00785645" w:rsidRPr="00785645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Dyrektor poinformowała, że jest prowadzony zeszyt obserwacji gdzie wszystkie zdarzenia dot. dziecka są wpisywane. Skarżąca zarzuca brak empatii pracownikom placówki co jest bardzo krzywdzące. </w:t>
      </w:r>
      <w:r w:rsidR="00785645">
        <w:rPr>
          <w:rFonts w:ascii="Arial" w:eastAsia="Calibri" w:hAnsi="Arial" w:cs="Arial"/>
          <w:kern w:val="2"/>
          <w:sz w:val="24"/>
          <w:szCs w:val="24"/>
          <w:lang w:eastAsia="ar-SA"/>
        </w:rPr>
        <w:t>Skarżąca</w:t>
      </w:r>
      <w:r w:rsidR="00785645" w:rsidRPr="00785645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nigdy nie pozostawała bez wsparcia, wszystkie jej prośby i uwagi były w miarę możliwości placówki uwzględniane. Rodzic również zaakceptował Indywidualny Program Edukacyjno-Terapeutyczny oraz brał udział w jego modyfikacji. </w:t>
      </w:r>
      <w:r w:rsidR="002E478B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W miesiącu czerwcu br. </w:t>
      </w:r>
      <w:r w:rsidR="00785645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skarżąca </w:t>
      </w:r>
      <w:r w:rsidR="00785645" w:rsidRPr="00785645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złożyła pisemną informację dot. zmiany placówki edukacyjnej dla swojej córki. </w:t>
      </w:r>
      <w:r w:rsidR="00122FD5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Dyrektor poinformowała, że p. psycholog otrzymała ustne upomnienie, iż na spotkanych należy zachować powagę sytuacji, ponieważ tego typu uśmiechy mogą być niewłaściwie interpretowane przez rozmówców.  </w:t>
      </w:r>
    </w:p>
    <w:p w14:paraId="6549B17C" w14:textId="7CA4B734" w:rsidR="00785645" w:rsidRPr="00785645" w:rsidRDefault="00122FD5" w:rsidP="003F2B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Komisja po zapoznaniu się ze stanowiskiem obydwu stron uznała </w:t>
      </w:r>
      <w:r w:rsidRPr="002B4F4C">
        <w:rPr>
          <w:rFonts w:ascii="Arial" w:eastAsia="Calibri" w:hAnsi="Arial" w:cs="Arial"/>
          <w:kern w:val="2"/>
          <w:sz w:val="24"/>
          <w:szCs w:val="24"/>
          <w:u w:val="single"/>
          <w:lang w:eastAsia="ar-SA"/>
        </w:rPr>
        <w:t xml:space="preserve">skargę </w:t>
      </w:r>
      <w:r w:rsidR="003F2BBA" w:rsidRPr="002B4F4C">
        <w:rPr>
          <w:rFonts w:ascii="Arial" w:eastAsia="Calibri" w:hAnsi="Arial" w:cs="Arial"/>
          <w:kern w:val="2"/>
          <w:sz w:val="24"/>
          <w:szCs w:val="24"/>
          <w:u w:val="single"/>
          <w:lang w:eastAsia="ar-SA"/>
        </w:rPr>
        <w:t>jednogłośnie za niezasadną.</w:t>
      </w:r>
      <w:r w:rsidRPr="002B4F4C">
        <w:rPr>
          <w:rFonts w:ascii="Arial" w:eastAsia="Calibri" w:hAnsi="Arial" w:cs="Arial"/>
          <w:kern w:val="2"/>
          <w:sz w:val="24"/>
          <w:szCs w:val="24"/>
          <w:u w:val="single"/>
          <w:lang w:eastAsia="ar-SA"/>
        </w:rPr>
        <w:t xml:space="preserve"> </w:t>
      </w:r>
      <w:r w:rsidR="003F2BBA">
        <w:rPr>
          <w:rFonts w:ascii="Arial" w:eastAsia="Calibri" w:hAnsi="Arial" w:cs="Arial"/>
          <w:kern w:val="2"/>
          <w:sz w:val="24"/>
          <w:szCs w:val="24"/>
          <w:lang w:eastAsia="ar-SA"/>
        </w:rPr>
        <w:t>Dyrektor placówki szyb</w:t>
      </w:r>
      <w:r w:rsidR="00D62264">
        <w:rPr>
          <w:rFonts w:ascii="Arial" w:eastAsia="Calibri" w:hAnsi="Arial" w:cs="Arial"/>
          <w:kern w:val="2"/>
          <w:sz w:val="24"/>
          <w:szCs w:val="24"/>
          <w:lang w:eastAsia="ar-SA"/>
        </w:rPr>
        <w:t>k</w:t>
      </w:r>
      <w:r w:rsidR="003F2BBA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o zareagowała na </w:t>
      </w:r>
      <w:r w:rsidR="00D62264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zarzuty stawiane pod  adresem pracownika ośrodka, organizując w tej sprawie spotkanie gdzie został sporządzony protokół do którego skarżąca nie wniosła uwag i go podpisała. </w:t>
      </w:r>
      <w:r w:rsidR="00D62264">
        <w:rPr>
          <w:rFonts w:ascii="Arial" w:eastAsia="Calibri" w:hAnsi="Arial" w:cs="Arial"/>
          <w:kern w:val="2"/>
          <w:sz w:val="24"/>
          <w:szCs w:val="24"/>
          <w:lang w:eastAsia="ar-SA"/>
        </w:rPr>
        <w:br/>
        <w:t xml:space="preserve">Pani psycholog otrzymała upomnienie ustne. Z przedstawionych dokumentów wynika, </w:t>
      </w:r>
      <w:r w:rsidR="00D62264">
        <w:rPr>
          <w:rFonts w:ascii="Arial" w:eastAsia="Calibri" w:hAnsi="Arial" w:cs="Arial"/>
          <w:kern w:val="2"/>
          <w:sz w:val="24"/>
          <w:szCs w:val="24"/>
          <w:lang w:eastAsia="ar-SA"/>
        </w:rPr>
        <w:lastRenderedPageBreak/>
        <w:t>że współpraca kadry nauczycielskiej z dzieckiem i rodzicem układała się dobrze.</w:t>
      </w:r>
      <w:r w:rsidR="002B4F4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Rodzic nigdy nie zgłaszał zastrzeżeń do pracy nauczycieli, wychowawców i personelu. </w:t>
      </w:r>
      <w:r w:rsidR="00D62264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Jeden incydent spowodował, że rodzic  podjął decyzję o napisaniu skargi </w:t>
      </w:r>
      <w:r w:rsidR="009074E8">
        <w:rPr>
          <w:rFonts w:ascii="Arial" w:eastAsia="Calibri" w:hAnsi="Arial" w:cs="Arial"/>
          <w:kern w:val="2"/>
          <w:sz w:val="24"/>
          <w:szCs w:val="24"/>
          <w:lang w:eastAsia="ar-SA"/>
        </w:rPr>
        <w:br/>
      </w:r>
      <w:r w:rsidR="00D62264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i </w:t>
      </w:r>
      <w:r w:rsidR="009074E8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przeniesieniu </w:t>
      </w:r>
      <w:r w:rsidR="00D62264">
        <w:rPr>
          <w:rFonts w:ascii="Arial" w:eastAsia="Calibri" w:hAnsi="Arial" w:cs="Arial"/>
          <w:kern w:val="2"/>
          <w:sz w:val="24"/>
          <w:szCs w:val="24"/>
          <w:lang w:eastAsia="ar-SA"/>
        </w:rPr>
        <w:t>dziecka do innej placówki. Dyrekcja placówki reagowała na wszystkie prośby i uwagi rodzica i w miarę swoich możliwości je uwzględniała.</w:t>
      </w:r>
      <w:r w:rsidR="0069371A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Zadaniem Komisji</w:t>
      </w:r>
      <w:r w:rsidR="002B4F4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przedstawione zarzuty pod adresem pracowników placówki są krzywdzące. </w:t>
      </w:r>
      <w:r w:rsidR="009074E8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W związku z powyższym Komisja  Skarg, Wniosków i </w:t>
      </w:r>
      <w:r w:rsidR="003F368C">
        <w:rPr>
          <w:rFonts w:ascii="Arial" w:eastAsia="Calibri" w:hAnsi="Arial" w:cs="Arial"/>
          <w:kern w:val="2"/>
          <w:sz w:val="24"/>
          <w:szCs w:val="24"/>
          <w:lang w:eastAsia="ar-SA"/>
        </w:rPr>
        <w:t>P</w:t>
      </w:r>
      <w:r w:rsidR="009074E8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etycji wnosi do Rady Powiatu Grójeckiego o uznanie skargi za niezasadną.  </w:t>
      </w:r>
      <w:r w:rsidR="002B4F4C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  </w:t>
      </w:r>
      <w:r w:rsidR="0069371A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  <w:r w:rsidR="00D62264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</w:t>
      </w:r>
    </w:p>
    <w:p w14:paraId="66926F40" w14:textId="77777777" w:rsidR="00785645" w:rsidRDefault="00785645" w:rsidP="007053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C9826E" w14:textId="77777777" w:rsidR="00785645" w:rsidRDefault="00785645" w:rsidP="007053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3AC496E" w14:textId="77777777" w:rsidR="002B4F4C" w:rsidRDefault="002B4F4C" w:rsidP="00F46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238C3F" w14:textId="77777777" w:rsidR="00F46130" w:rsidRDefault="00F46130" w:rsidP="00F46130">
      <w:pPr>
        <w:spacing w:after="12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</w:t>
      </w:r>
    </w:p>
    <w:p w14:paraId="15A9123C" w14:textId="09EBC533" w:rsidR="002B4F4C" w:rsidRPr="00F46130" w:rsidRDefault="00F46130" w:rsidP="00F46130">
      <w:pPr>
        <w:spacing w:after="12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Jan Madej </w:t>
      </w:r>
    </w:p>
    <w:p w14:paraId="6F8678B9" w14:textId="77777777" w:rsidR="002B4F4C" w:rsidRDefault="002B4F4C" w:rsidP="007053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3369EB7" w14:textId="77777777" w:rsidR="002B4F4C" w:rsidRDefault="002B4F4C" w:rsidP="007053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055988E" w14:textId="77777777" w:rsidR="002B4F4C" w:rsidRDefault="002B4F4C" w:rsidP="007053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FE489A9" w14:textId="77777777" w:rsidR="002B4F4C" w:rsidRDefault="002B4F4C" w:rsidP="007053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5C9E2B0" w14:textId="77777777" w:rsidR="002B4F4C" w:rsidRDefault="002B4F4C" w:rsidP="007053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EA59E9" w14:textId="77777777" w:rsidR="00785645" w:rsidRDefault="00785645" w:rsidP="007053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FC0D77" w14:textId="77777777" w:rsidR="0070535B" w:rsidRDefault="0070535B" w:rsidP="0070535B">
      <w:pPr>
        <w:rPr>
          <w:rFonts w:ascii="Arial" w:hAnsi="Arial" w:cs="Arial"/>
          <w:b/>
          <w:bCs/>
          <w:sz w:val="24"/>
          <w:szCs w:val="24"/>
        </w:rPr>
      </w:pPr>
    </w:p>
    <w:p w14:paraId="2D01F115" w14:textId="1C8C4463" w:rsidR="0070535B" w:rsidRPr="009074E8" w:rsidRDefault="00785645" w:rsidP="009074E8">
      <w:pPr>
        <w:spacing w:line="276" w:lineRule="auto"/>
        <w:jc w:val="both"/>
        <w:rPr>
          <w:rFonts w:ascii="Arial" w:hAnsi="Arial" w:cs="Arial"/>
        </w:rPr>
      </w:pPr>
      <w:r w:rsidRPr="007C4D71">
        <w:rPr>
          <w:rFonts w:ascii="Arial" w:hAnsi="Arial" w:cs="Arial"/>
        </w:rPr>
        <w:t xml:space="preserve">Pouczenie: Zgodnie z art. </w:t>
      </w:r>
      <w:r w:rsidRPr="007C4D71">
        <w:rPr>
          <w:rFonts w:ascii="Arial" w:hAnsi="Arial" w:cs="Arial"/>
          <w:b/>
        </w:rPr>
        <w:t xml:space="preserve"> </w:t>
      </w:r>
      <w:r w:rsidRPr="007C4D71">
        <w:rPr>
          <w:rFonts w:ascii="Arial" w:hAnsi="Arial" w:cs="Arial"/>
          <w:b/>
          <w:bCs/>
        </w:rPr>
        <w:t>239 § 1 ustawy z dnia 14 czerwca 1960 r. Kodeks postępowania administracyjnego (Dz. U. z 202</w:t>
      </w:r>
      <w:r>
        <w:rPr>
          <w:rFonts w:ascii="Arial" w:hAnsi="Arial" w:cs="Arial"/>
          <w:b/>
          <w:bCs/>
        </w:rPr>
        <w:t>3</w:t>
      </w:r>
      <w:r w:rsidRPr="007C4D71">
        <w:rPr>
          <w:rFonts w:ascii="Arial" w:hAnsi="Arial" w:cs="Arial"/>
          <w:b/>
          <w:bCs/>
        </w:rPr>
        <w:t xml:space="preserve"> r. poz. </w:t>
      </w:r>
      <w:r>
        <w:rPr>
          <w:rFonts w:ascii="Arial" w:hAnsi="Arial" w:cs="Arial"/>
          <w:b/>
          <w:bCs/>
        </w:rPr>
        <w:t>775</w:t>
      </w:r>
      <w:r w:rsidRPr="007C4D71">
        <w:rPr>
          <w:rFonts w:ascii="Arial" w:hAnsi="Arial" w:cs="Arial"/>
          <w:b/>
          <w:bCs/>
        </w:rPr>
        <w:t xml:space="preserve"> z </w:t>
      </w:r>
      <w:proofErr w:type="spellStart"/>
      <w:r w:rsidRPr="007C4D71">
        <w:rPr>
          <w:rFonts w:ascii="Arial" w:hAnsi="Arial" w:cs="Arial"/>
          <w:b/>
          <w:bCs/>
        </w:rPr>
        <w:t>późn</w:t>
      </w:r>
      <w:proofErr w:type="spellEnd"/>
      <w:r w:rsidRPr="007C4D71">
        <w:rPr>
          <w:rFonts w:ascii="Arial" w:hAnsi="Arial" w:cs="Arial"/>
          <w:b/>
          <w:bCs/>
        </w:rPr>
        <w:t xml:space="preserve">. zm.) poucza się, że </w:t>
      </w:r>
      <w:r w:rsidRPr="007C4D71">
        <w:rPr>
          <w:rFonts w:ascii="Arial" w:hAnsi="Arial" w:cs="Arial"/>
        </w:rPr>
        <w:t>w przypadku gdy skarga, w wyniku jej rozpatrzenia, została uznana za bezzasadną i jej bezzasadność wykazano w odpowiedzi na skargę, a skarżący ponowił skargę bez wskazania nowych okoliczności – organ właściwy do jej rozpatrzenia może podtrzymać swoje poprzednie stanowisko z odpowiednią adnotacją w aktach sprawy – bez zawiadamiania skarżącego.</w:t>
      </w:r>
    </w:p>
    <w:sectPr w:rsidR="0070535B" w:rsidRPr="00907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0A"/>
    <w:rsid w:val="00042E8B"/>
    <w:rsid w:val="000E11F7"/>
    <w:rsid w:val="000E1E48"/>
    <w:rsid w:val="00122FD5"/>
    <w:rsid w:val="0012495D"/>
    <w:rsid w:val="0013611B"/>
    <w:rsid w:val="001612B8"/>
    <w:rsid w:val="001716E4"/>
    <w:rsid w:val="002205BE"/>
    <w:rsid w:val="00226117"/>
    <w:rsid w:val="00231854"/>
    <w:rsid w:val="00245155"/>
    <w:rsid w:val="002B4F4C"/>
    <w:rsid w:val="002E478B"/>
    <w:rsid w:val="002F11C1"/>
    <w:rsid w:val="003221F7"/>
    <w:rsid w:val="0033560A"/>
    <w:rsid w:val="00377F2C"/>
    <w:rsid w:val="003A2BEF"/>
    <w:rsid w:val="003F2BBA"/>
    <w:rsid w:val="003F368C"/>
    <w:rsid w:val="00400954"/>
    <w:rsid w:val="00402B2C"/>
    <w:rsid w:val="00417158"/>
    <w:rsid w:val="004C064D"/>
    <w:rsid w:val="004C424E"/>
    <w:rsid w:val="00534FE5"/>
    <w:rsid w:val="005908EE"/>
    <w:rsid w:val="005F34D0"/>
    <w:rsid w:val="00611093"/>
    <w:rsid w:val="0061314F"/>
    <w:rsid w:val="00617A4F"/>
    <w:rsid w:val="0067156F"/>
    <w:rsid w:val="0069371A"/>
    <w:rsid w:val="006B2DB2"/>
    <w:rsid w:val="006D527C"/>
    <w:rsid w:val="0070535B"/>
    <w:rsid w:val="00785645"/>
    <w:rsid w:val="007A21F6"/>
    <w:rsid w:val="007B02C7"/>
    <w:rsid w:val="007D01C8"/>
    <w:rsid w:val="007F08EE"/>
    <w:rsid w:val="00820140"/>
    <w:rsid w:val="00832067"/>
    <w:rsid w:val="008342D8"/>
    <w:rsid w:val="008617A8"/>
    <w:rsid w:val="008D5F19"/>
    <w:rsid w:val="008E1231"/>
    <w:rsid w:val="009074E8"/>
    <w:rsid w:val="00911AF7"/>
    <w:rsid w:val="0091719A"/>
    <w:rsid w:val="00923110"/>
    <w:rsid w:val="0092469B"/>
    <w:rsid w:val="0095520D"/>
    <w:rsid w:val="009653B7"/>
    <w:rsid w:val="009A542F"/>
    <w:rsid w:val="00A847CB"/>
    <w:rsid w:val="00B0682E"/>
    <w:rsid w:val="00B34A1F"/>
    <w:rsid w:val="00B54F38"/>
    <w:rsid w:val="00BE2313"/>
    <w:rsid w:val="00BE3FCA"/>
    <w:rsid w:val="00C07DAC"/>
    <w:rsid w:val="00C269DF"/>
    <w:rsid w:val="00C30561"/>
    <w:rsid w:val="00C32BC3"/>
    <w:rsid w:val="00C5656B"/>
    <w:rsid w:val="00C65754"/>
    <w:rsid w:val="00D62264"/>
    <w:rsid w:val="00E1537F"/>
    <w:rsid w:val="00E15A5E"/>
    <w:rsid w:val="00E55D25"/>
    <w:rsid w:val="00E92350"/>
    <w:rsid w:val="00EA3BAB"/>
    <w:rsid w:val="00ED7949"/>
    <w:rsid w:val="00F1057E"/>
    <w:rsid w:val="00F266A4"/>
    <w:rsid w:val="00F46130"/>
    <w:rsid w:val="00F50C16"/>
    <w:rsid w:val="00F90BBD"/>
    <w:rsid w:val="00FD6B91"/>
    <w:rsid w:val="00F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E2A2"/>
  <w15:chartTrackingRefBased/>
  <w15:docId w15:val="{E02713BC-AF85-4FD9-A1F6-276F7B8C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60A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Ineza Banach</dc:creator>
  <cp:keywords/>
  <dc:description/>
  <cp:lastModifiedBy>Ineza Banach</cp:lastModifiedBy>
  <cp:revision>38</cp:revision>
  <cp:lastPrinted>2025-09-26T11:56:00Z</cp:lastPrinted>
  <dcterms:created xsi:type="dcterms:W3CDTF">2024-02-05T12:41:00Z</dcterms:created>
  <dcterms:modified xsi:type="dcterms:W3CDTF">2025-09-26T11:56:00Z</dcterms:modified>
</cp:coreProperties>
</file>